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90" w:rsidRDefault="00061ED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弾性ストッキングの使用期間について</w:t>
      </w:r>
    </w:p>
    <w:p w:rsidR="00061ED0" w:rsidRDefault="00061ED0" w:rsidP="00061ED0">
      <w:pPr>
        <w:rPr>
          <w:rFonts w:hint="eastAsia"/>
          <w:sz w:val="24"/>
          <w:szCs w:val="24"/>
        </w:rPr>
      </w:pPr>
      <w:r w:rsidRPr="00061ED0">
        <w:rPr>
          <w:sz w:val="24"/>
          <w:szCs w:val="24"/>
        </w:rPr>
        <w:t>One versus two years of el</w:t>
      </w:r>
      <w:r w:rsidR="00C44ACB">
        <w:rPr>
          <w:sz w:val="24"/>
          <w:szCs w:val="24"/>
        </w:rPr>
        <w:t>astic compression stockings for</w:t>
      </w:r>
      <w:r w:rsidR="00C44ACB">
        <w:rPr>
          <w:rFonts w:hint="eastAsia"/>
          <w:sz w:val="24"/>
          <w:szCs w:val="24"/>
        </w:rPr>
        <w:t xml:space="preserve"> </w:t>
      </w:r>
      <w:r w:rsidRPr="00061ED0">
        <w:rPr>
          <w:sz w:val="24"/>
          <w:szCs w:val="24"/>
        </w:rPr>
        <w:t>prevention of post-throm</w:t>
      </w:r>
      <w:r w:rsidR="00C44ACB">
        <w:rPr>
          <w:sz w:val="24"/>
          <w:szCs w:val="24"/>
        </w:rPr>
        <w:t>botic syndrome (OCTAVIA study):</w:t>
      </w:r>
      <w:proofErr w:type="spellStart"/>
      <w:r w:rsidRPr="00061ED0">
        <w:rPr>
          <w:sz w:val="24"/>
          <w:szCs w:val="24"/>
        </w:rPr>
        <w:t>randomised</w:t>
      </w:r>
      <w:proofErr w:type="spellEnd"/>
      <w:r w:rsidRPr="00061ED0">
        <w:rPr>
          <w:sz w:val="24"/>
          <w:szCs w:val="24"/>
        </w:rPr>
        <w:t xml:space="preserve"> controlled trial</w:t>
      </w:r>
    </w:p>
    <w:p w:rsidR="00061ED0" w:rsidRDefault="00061ED0">
      <w:pPr>
        <w:rPr>
          <w:rFonts w:hint="eastAsia"/>
          <w:sz w:val="24"/>
          <w:szCs w:val="24"/>
        </w:rPr>
      </w:pPr>
    </w:p>
    <w:p w:rsidR="00061ED0" w:rsidRDefault="009D6383" w:rsidP="009D6383">
      <w:pPr>
        <w:ind w:firstLineChars="750" w:firstLine="1575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42267E0E" wp14:editId="0267C931">
            <wp:extent cx="1936750" cy="1572909"/>
            <wp:effectExtent l="0" t="0" r="635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747" cy="157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83" w:rsidRDefault="009D6383" w:rsidP="009D6383">
      <w:pPr>
        <w:ind w:firstLineChars="750" w:firstLine="1800"/>
        <w:rPr>
          <w:rFonts w:hint="eastAsia"/>
          <w:sz w:val="24"/>
          <w:szCs w:val="24"/>
        </w:rPr>
      </w:pPr>
      <w:bookmarkStart w:id="0" w:name="_GoBack"/>
      <w:bookmarkEnd w:id="0"/>
    </w:p>
    <w:p w:rsidR="00061ED0" w:rsidRDefault="00061E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深部静脈血栓症の治療後に再発予防のため、弾性ストッキングを使用しますが、その期間についての論文がでました。</w:t>
      </w:r>
    </w:p>
    <w:p w:rsidR="00061ED0" w:rsidRDefault="00061E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以前は２年間装着しても１年間と差はないとされていたようですが、今回の論文ではやはり２年間は弾性ストッキングを使用した方が良いようです。</w:t>
      </w:r>
    </w:p>
    <w:p w:rsidR="00061ED0" w:rsidRDefault="00061ED0">
      <w:pPr>
        <w:rPr>
          <w:rFonts w:hint="eastAsia"/>
          <w:sz w:val="24"/>
          <w:szCs w:val="24"/>
        </w:rPr>
      </w:pPr>
    </w:p>
    <w:p w:rsidR="00061ED0" w:rsidRDefault="00061ED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私見）</w:t>
      </w:r>
    </w:p>
    <w:p w:rsidR="00061ED0" w:rsidRDefault="00061ED0" w:rsidP="00061ED0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軽度の下肢の浅在性静脈瘤でも、本院では弾性ストッキングを指導していましたが、疾患を合併していなければ、特別な環境以外はそれ程着用しなくても良いようです。</w:t>
      </w:r>
    </w:p>
    <w:p w:rsidR="00061ED0" w:rsidRPr="00061ED0" w:rsidRDefault="00061ED0" w:rsidP="00061ED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これも患者さんの層別化が大事と言う事でしょうか。</w:t>
      </w:r>
    </w:p>
    <w:sectPr w:rsidR="00061ED0" w:rsidRPr="00061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D0"/>
    <w:rsid w:val="00061ED0"/>
    <w:rsid w:val="009D6383"/>
    <w:rsid w:val="00BF2790"/>
    <w:rsid w:val="00C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3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2016-06-27T13:29:00Z</dcterms:created>
  <dcterms:modified xsi:type="dcterms:W3CDTF">2016-06-27T13:55:00Z</dcterms:modified>
</cp:coreProperties>
</file>